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8CAD" w14:textId="77777777" w:rsidR="008F2391" w:rsidRDefault="008F2391" w:rsidP="008F2391">
      <w:pPr>
        <w:pStyle w:val="ListParagraph"/>
        <w:numPr>
          <w:ilvl w:val="0"/>
          <w:numId w:val="23"/>
        </w:numPr>
        <w:ind w:left="360" w:right="180"/>
        <w:jc w:val="both"/>
        <w:rPr>
          <w:b/>
          <w:i/>
          <w:iCs/>
          <w:u w:val="single"/>
        </w:rPr>
      </w:pPr>
      <w:r>
        <w:rPr>
          <w:b/>
          <w:i/>
          <w:iCs/>
          <w:u w:val="single"/>
        </w:rPr>
        <w:t>STANDARD TERMS AND CONDITIONS OF ORDER</w:t>
      </w:r>
    </w:p>
    <w:p w14:paraId="13DA8D7C" w14:textId="77777777" w:rsidR="008F2391" w:rsidRPr="00743056" w:rsidRDefault="008F2391" w:rsidP="008F2391">
      <w:pPr>
        <w:pStyle w:val="ListParagraph"/>
        <w:numPr>
          <w:ilvl w:val="0"/>
          <w:numId w:val="26"/>
        </w:numPr>
        <w:spacing w:line="240" w:lineRule="auto"/>
        <w:ind w:left="1080" w:right="180"/>
        <w:jc w:val="both"/>
        <w:rPr>
          <w:b/>
          <w:i/>
          <w:iCs/>
          <w:u w:val="single"/>
        </w:rPr>
      </w:pPr>
      <w:r>
        <w:rPr>
          <w:i/>
          <w:iCs/>
        </w:rPr>
        <w:t>We reserve the right to review the processes and records associated with this order at all suppliers’ facilities with appropriate notification. This right extends to our customers, applicable regulatory agencies, and any sub-tier suppliers used in the fulfillment of this order.</w:t>
      </w:r>
    </w:p>
    <w:p w14:paraId="42729035" w14:textId="77777777" w:rsidR="008F2391" w:rsidRPr="00743056" w:rsidRDefault="008F2391" w:rsidP="008F2391">
      <w:pPr>
        <w:pStyle w:val="ListParagraph"/>
        <w:numPr>
          <w:ilvl w:val="0"/>
          <w:numId w:val="26"/>
        </w:numPr>
        <w:spacing w:line="240" w:lineRule="auto"/>
        <w:ind w:left="1080" w:right="180"/>
        <w:jc w:val="both"/>
        <w:rPr>
          <w:b/>
          <w:i/>
          <w:iCs/>
          <w:u w:val="single"/>
        </w:rPr>
      </w:pPr>
      <w:r>
        <w:rPr>
          <w:i/>
          <w:iCs/>
        </w:rPr>
        <w:t>If any of this order is outsourced to your suppliers, all applicable requirements and specifications must be communicated (including all applicable key characteristics) to each sub-tier supplier used.</w:t>
      </w:r>
    </w:p>
    <w:p w14:paraId="40132A01" w14:textId="77777777" w:rsidR="008F2391" w:rsidRDefault="008F2391" w:rsidP="008F2391">
      <w:pPr>
        <w:pStyle w:val="ListParagraph"/>
        <w:numPr>
          <w:ilvl w:val="0"/>
          <w:numId w:val="26"/>
        </w:numPr>
        <w:spacing w:line="240" w:lineRule="auto"/>
        <w:ind w:left="1080" w:right="180"/>
        <w:jc w:val="both"/>
        <w:rPr>
          <w:i/>
          <w:iCs/>
        </w:rPr>
      </w:pPr>
      <w:r w:rsidRPr="00743056">
        <w:rPr>
          <w:i/>
          <w:iCs/>
        </w:rPr>
        <w:t>Delivery times are defined on each PO</w:t>
      </w:r>
      <w:r>
        <w:rPr>
          <w:i/>
          <w:iCs/>
        </w:rPr>
        <w:t xml:space="preserve">. If supplier is unable to meet defined deadlines, we must be notified immediately for risk assessment. </w:t>
      </w:r>
    </w:p>
    <w:p w14:paraId="3A3F3FA8" w14:textId="77777777" w:rsidR="008F2391" w:rsidRDefault="008F2391" w:rsidP="008F2391">
      <w:pPr>
        <w:pStyle w:val="ListParagraph"/>
        <w:numPr>
          <w:ilvl w:val="0"/>
          <w:numId w:val="26"/>
        </w:numPr>
        <w:spacing w:line="240" w:lineRule="auto"/>
        <w:ind w:left="1080" w:right="180"/>
        <w:jc w:val="both"/>
        <w:rPr>
          <w:i/>
          <w:iCs/>
        </w:rPr>
      </w:pPr>
      <w:r>
        <w:rPr>
          <w:i/>
          <w:iCs/>
        </w:rPr>
        <w:t>We reserve the right to cancel a PO without penalty if supplier is unable to meet defined requirements.</w:t>
      </w:r>
    </w:p>
    <w:p w14:paraId="2779DAF6" w14:textId="77777777" w:rsidR="008F2391" w:rsidRDefault="008F2391" w:rsidP="008F2391">
      <w:pPr>
        <w:pStyle w:val="ListParagraph"/>
        <w:numPr>
          <w:ilvl w:val="0"/>
          <w:numId w:val="26"/>
        </w:numPr>
        <w:spacing w:line="240" w:lineRule="auto"/>
        <w:ind w:left="1080" w:right="180"/>
        <w:jc w:val="both"/>
        <w:rPr>
          <w:i/>
          <w:iCs/>
        </w:rPr>
      </w:pPr>
      <w:r>
        <w:rPr>
          <w:i/>
          <w:iCs/>
        </w:rPr>
        <w:t xml:space="preserve">Acceptance of a PO is a binding contract and any breach to said contracts are legally binding in the </w:t>
      </w:r>
      <w:r w:rsidRPr="00B84C18">
        <w:rPr>
          <w:i/>
          <w:iCs/>
        </w:rPr>
        <w:t>State of Texas</w:t>
      </w:r>
      <w:r>
        <w:rPr>
          <w:i/>
          <w:iCs/>
        </w:rPr>
        <w:t xml:space="preserve"> with all applicable laws and governing.</w:t>
      </w:r>
    </w:p>
    <w:p w14:paraId="08D1DB6C" w14:textId="77777777" w:rsidR="008F2391" w:rsidRDefault="008F2391" w:rsidP="008F2391">
      <w:pPr>
        <w:pStyle w:val="ListParagraph"/>
        <w:numPr>
          <w:ilvl w:val="0"/>
          <w:numId w:val="26"/>
        </w:numPr>
        <w:spacing w:line="240" w:lineRule="auto"/>
        <w:ind w:left="1080" w:right="180"/>
        <w:jc w:val="both"/>
        <w:rPr>
          <w:i/>
          <w:iCs/>
        </w:rPr>
      </w:pPr>
      <w:r>
        <w:rPr>
          <w:i/>
          <w:iCs/>
        </w:rPr>
        <w:t>Supplier agrees to maintaining certain Quality Functions, as noted on the initial survey form, or by maintaining an accredited Quality Management System (QMS). Any changes to the QMS as originally provided must be communicated to company quality immediately for risk assessment.</w:t>
      </w:r>
    </w:p>
    <w:p w14:paraId="75DB7FB8" w14:textId="77777777" w:rsidR="008F2391" w:rsidRDefault="008F2391" w:rsidP="008F2391">
      <w:pPr>
        <w:pStyle w:val="ListParagraph"/>
        <w:numPr>
          <w:ilvl w:val="0"/>
          <w:numId w:val="26"/>
        </w:numPr>
        <w:spacing w:line="240" w:lineRule="auto"/>
        <w:ind w:left="1080" w:right="180"/>
        <w:jc w:val="both"/>
        <w:rPr>
          <w:i/>
          <w:iCs/>
        </w:rPr>
      </w:pPr>
      <w:r>
        <w:rPr>
          <w:i/>
          <w:iCs/>
        </w:rPr>
        <w:t>We monitor and measure on time delivery and quality performance of all suppliers to ensure continued approval. Failure to meet desired performance levels can result in a Corrective Action being submitted, re-evaluation, or removal from approved status.</w:t>
      </w:r>
    </w:p>
    <w:p w14:paraId="00BFAC9C" w14:textId="77777777" w:rsidR="008F2391" w:rsidRPr="00B84C18" w:rsidRDefault="008F2391" w:rsidP="008F2391">
      <w:pPr>
        <w:pStyle w:val="ListParagraph"/>
        <w:numPr>
          <w:ilvl w:val="0"/>
          <w:numId w:val="26"/>
        </w:numPr>
        <w:spacing w:line="240" w:lineRule="auto"/>
        <w:ind w:left="1080" w:right="180"/>
        <w:jc w:val="both"/>
        <w:rPr>
          <w:i/>
          <w:iCs/>
        </w:rPr>
      </w:pPr>
      <w:r w:rsidRPr="00B84C18">
        <w:rPr>
          <w:i/>
          <w:iCs/>
        </w:rPr>
        <w:t>Supplier adheres to the requirements of all counterfeit prevention protocols to ensure only authentic and approved parts are provided. Please see AS5553, AS6174, and AS6081 for guidance.</w:t>
      </w:r>
    </w:p>
    <w:p w14:paraId="544D8C66" w14:textId="77777777" w:rsidR="008F2391" w:rsidRPr="00B84C18" w:rsidRDefault="008F2391" w:rsidP="008F2391">
      <w:pPr>
        <w:pStyle w:val="ListParagraph"/>
        <w:numPr>
          <w:ilvl w:val="0"/>
          <w:numId w:val="26"/>
        </w:numPr>
        <w:spacing w:line="240" w:lineRule="auto"/>
        <w:ind w:left="1080" w:right="180"/>
        <w:jc w:val="both"/>
        <w:rPr>
          <w:i/>
          <w:iCs/>
        </w:rPr>
      </w:pPr>
      <w:r w:rsidRPr="00B84C18">
        <w:rPr>
          <w:i/>
          <w:iCs/>
        </w:rPr>
        <w:t>Supplier agrees to all applicable regulations (ITAR, DFAR, etc.), if stated applicable on the PO.</w:t>
      </w:r>
    </w:p>
    <w:p w14:paraId="3E1019F2" w14:textId="77777777" w:rsidR="008F2391" w:rsidRPr="00B84C18" w:rsidRDefault="008F2391" w:rsidP="008F2391">
      <w:pPr>
        <w:pStyle w:val="ListParagraph"/>
        <w:numPr>
          <w:ilvl w:val="0"/>
          <w:numId w:val="26"/>
        </w:numPr>
        <w:spacing w:line="240" w:lineRule="auto"/>
        <w:ind w:left="1080" w:right="180"/>
        <w:jc w:val="both"/>
        <w:rPr>
          <w:i/>
          <w:iCs/>
        </w:rPr>
      </w:pPr>
      <w:r w:rsidRPr="00B84C18">
        <w:rPr>
          <w:i/>
          <w:iCs/>
        </w:rPr>
        <w:t>Supplier agrees to ensure personnel are aware of safe work practices and ethical behavior.</w:t>
      </w:r>
    </w:p>
    <w:p w14:paraId="0AC025A5" w14:textId="77777777" w:rsidR="008F2391" w:rsidRDefault="008F2391" w:rsidP="008F2391">
      <w:pPr>
        <w:pStyle w:val="ListParagraph"/>
        <w:numPr>
          <w:ilvl w:val="0"/>
          <w:numId w:val="26"/>
        </w:numPr>
        <w:spacing w:line="240" w:lineRule="auto"/>
        <w:ind w:left="1080" w:right="180"/>
        <w:jc w:val="both"/>
        <w:rPr>
          <w:i/>
          <w:iCs/>
        </w:rPr>
      </w:pPr>
      <w:r>
        <w:rPr>
          <w:i/>
          <w:iCs/>
        </w:rPr>
        <w:t>Supplier agrees to receive returned products/services for review and disposition if found nonconforming to stated requirements. Pending returns will result in a HOLD on payment of invoices until resolution is determined and processed.</w:t>
      </w:r>
    </w:p>
    <w:p w14:paraId="0870DE6C" w14:textId="77777777" w:rsidR="008F2391" w:rsidRDefault="008F2391" w:rsidP="008F2391">
      <w:pPr>
        <w:pStyle w:val="ListParagraph"/>
        <w:numPr>
          <w:ilvl w:val="0"/>
          <w:numId w:val="26"/>
        </w:numPr>
        <w:spacing w:line="240" w:lineRule="auto"/>
        <w:ind w:left="1080" w:right="180"/>
        <w:jc w:val="both"/>
        <w:rPr>
          <w:i/>
          <w:iCs/>
        </w:rPr>
      </w:pPr>
      <w:r w:rsidRPr="00D27E35">
        <w:rPr>
          <w:i/>
          <w:iCs/>
        </w:rPr>
        <w:t>Supplie</w:t>
      </w:r>
      <w:r>
        <w:rPr>
          <w:i/>
          <w:iCs/>
        </w:rPr>
        <w:t>r</w:t>
      </w:r>
      <w:r w:rsidRPr="00D27E35">
        <w:rPr>
          <w:i/>
          <w:iCs/>
        </w:rPr>
        <w:t xml:space="preserve"> must maintain process and conformance records regarding the product or service provided regarding this order for a minimum of </w:t>
      </w:r>
      <w:r>
        <w:rPr>
          <w:i/>
          <w:iCs/>
        </w:rPr>
        <w:t>10</w:t>
      </w:r>
      <w:r w:rsidRPr="00D27E35">
        <w:rPr>
          <w:i/>
          <w:iCs/>
        </w:rPr>
        <w:t xml:space="preserve"> years</w:t>
      </w:r>
      <w:r>
        <w:rPr>
          <w:i/>
          <w:iCs/>
        </w:rPr>
        <w:t>.</w:t>
      </w:r>
    </w:p>
    <w:p w14:paraId="6D11808A" w14:textId="77777777" w:rsidR="008F2391" w:rsidRDefault="008F2391" w:rsidP="008F2391">
      <w:pPr>
        <w:pStyle w:val="ListParagraph"/>
        <w:numPr>
          <w:ilvl w:val="0"/>
          <w:numId w:val="26"/>
        </w:numPr>
        <w:spacing w:line="240" w:lineRule="auto"/>
        <w:ind w:left="1080" w:right="180"/>
        <w:jc w:val="both"/>
        <w:rPr>
          <w:i/>
          <w:iCs/>
        </w:rPr>
      </w:pPr>
      <w:r>
        <w:rPr>
          <w:i/>
          <w:iCs/>
        </w:rPr>
        <w:t xml:space="preserve">Supplier agrees to all terms and conditions defined within, and will respond to any Supplier Corrective Actions in the time defined as a result of poor performance. </w:t>
      </w:r>
    </w:p>
    <w:p w14:paraId="537D2DE2" w14:textId="77777777" w:rsidR="008F2391" w:rsidRDefault="008F2391" w:rsidP="008F2391">
      <w:pPr>
        <w:pStyle w:val="ListParagraph"/>
        <w:spacing w:line="240" w:lineRule="auto"/>
        <w:ind w:left="1080" w:right="180"/>
        <w:jc w:val="both"/>
        <w:rPr>
          <w:i/>
          <w:iCs/>
        </w:rPr>
      </w:pPr>
    </w:p>
    <w:p w14:paraId="04562BC5" w14:textId="77777777" w:rsidR="008F2391" w:rsidRPr="00743056" w:rsidRDefault="008F2391" w:rsidP="008F2391">
      <w:pPr>
        <w:pStyle w:val="ListParagraph"/>
        <w:spacing w:line="240" w:lineRule="auto"/>
        <w:ind w:left="1080" w:right="180"/>
        <w:jc w:val="both"/>
        <w:rPr>
          <w:i/>
          <w:iCs/>
        </w:rPr>
      </w:pPr>
    </w:p>
    <w:p w14:paraId="78D9D0EC" w14:textId="77777777" w:rsidR="008F2391" w:rsidRDefault="008F2391" w:rsidP="008F2391">
      <w:pPr>
        <w:pStyle w:val="ListParagraph"/>
        <w:numPr>
          <w:ilvl w:val="0"/>
          <w:numId w:val="23"/>
        </w:numPr>
        <w:ind w:left="360" w:right="180"/>
        <w:jc w:val="both"/>
        <w:rPr>
          <w:b/>
          <w:i/>
          <w:iCs/>
          <w:u w:val="single"/>
        </w:rPr>
      </w:pPr>
      <w:r>
        <w:rPr>
          <w:b/>
          <w:i/>
          <w:iCs/>
          <w:u w:val="single"/>
        </w:rPr>
        <w:t>PRODUCT</w:t>
      </w:r>
      <w:r w:rsidRPr="000E6021">
        <w:rPr>
          <w:b/>
          <w:i/>
          <w:iCs/>
          <w:u w:val="single"/>
        </w:rPr>
        <w:t xml:space="preserve"> PROVIDERS</w:t>
      </w:r>
    </w:p>
    <w:p w14:paraId="5730DBF4" w14:textId="3E01086C" w:rsidR="008F2391" w:rsidRDefault="008F2391" w:rsidP="008F2391">
      <w:pPr>
        <w:pStyle w:val="ListParagraph"/>
        <w:numPr>
          <w:ilvl w:val="0"/>
          <w:numId w:val="25"/>
        </w:numPr>
        <w:ind w:right="180"/>
        <w:jc w:val="both"/>
        <w:rPr>
          <w:i/>
          <w:iCs/>
        </w:rPr>
      </w:pPr>
      <w:r w:rsidRPr="000E6021">
        <w:rPr>
          <w:i/>
          <w:iCs/>
        </w:rPr>
        <w:t>Supplier agrees to provide parts defined within the associated PO to the revision level</w:t>
      </w:r>
      <w:r w:rsidR="00467016">
        <w:rPr>
          <w:i/>
          <w:iCs/>
        </w:rPr>
        <w:t>/date</w:t>
      </w:r>
      <w:r w:rsidRPr="000E6021">
        <w:rPr>
          <w:i/>
          <w:iCs/>
        </w:rPr>
        <w:t xml:space="preserve"> noted. If no revision level</w:t>
      </w:r>
      <w:r w:rsidR="00467016">
        <w:rPr>
          <w:i/>
          <w:iCs/>
        </w:rPr>
        <w:t>/date</w:t>
      </w:r>
      <w:r w:rsidRPr="000E6021">
        <w:rPr>
          <w:i/>
          <w:iCs/>
        </w:rPr>
        <w:t xml:space="preserve"> is noted, the latest revision level is requested.</w:t>
      </w:r>
      <w:bookmarkStart w:id="0" w:name="_GoBack"/>
      <w:bookmarkEnd w:id="0"/>
    </w:p>
    <w:p w14:paraId="087300FA" w14:textId="77777777" w:rsidR="008F2391" w:rsidRDefault="008F2391" w:rsidP="008F2391">
      <w:pPr>
        <w:pStyle w:val="ListParagraph"/>
        <w:numPr>
          <w:ilvl w:val="0"/>
          <w:numId w:val="25"/>
        </w:numPr>
        <w:ind w:right="180"/>
        <w:jc w:val="both"/>
        <w:rPr>
          <w:i/>
          <w:iCs/>
        </w:rPr>
      </w:pPr>
      <w:r>
        <w:rPr>
          <w:i/>
          <w:iCs/>
        </w:rPr>
        <w:t>Supplier agrees to provide conformance records of parts provided to ensure items meet specification and performance requirements. A Certificate of Conformance is acceptable.</w:t>
      </w:r>
    </w:p>
    <w:p w14:paraId="3EF9286C" w14:textId="77777777" w:rsidR="008F2391" w:rsidRPr="00743056" w:rsidRDefault="008F2391" w:rsidP="008F2391">
      <w:pPr>
        <w:pStyle w:val="ListParagraph"/>
        <w:numPr>
          <w:ilvl w:val="0"/>
          <w:numId w:val="25"/>
        </w:numPr>
        <w:ind w:right="180"/>
        <w:jc w:val="both"/>
        <w:rPr>
          <w:b/>
          <w:i/>
          <w:iCs/>
          <w:u w:val="single"/>
        </w:rPr>
      </w:pPr>
      <w:r>
        <w:rPr>
          <w:i/>
          <w:iCs/>
        </w:rPr>
        <w:t>Certificates of Conformance are required for each line item listed on the PO as directed.</w:t>
      </w:r>
    </w:p>
    <w:p w14:paraId="77909A83" w14:textId="77777777" w:rsidR="008F2391" w:rsidRPr="00B927C3" w:rsidRDefault="008F2391" w:rsidP="008F2391">
      <w:pPr>
        <w:pStyle w:val="ListParagraph"/>
        <w:numPr>
          <w:ilvl w:val="0"/>
          <w:numId w:val="25"/>
        </w:numPr>
        <w:ind w:right="180"/>
        <w:jc w:val="both"/>
        <w:rPr>
          <w:b/>
          <w:i/>
          <w:iCs/>
          <w:u w:val="single"/>
        </w:rPr>
      </w:pPr>
      <w:r>
        <w:rPr>
          <w:i/>
          <w:iCs/>
        </w:rPr>
        <w:t>When Full Inspection and Test Reports are required, it will be noted on the PO.</w:t>
      </w:r>
    </w:p>
    <w:p w14:paraId="01848749" w14:textId="77777777" w:rsidR="008F2391" w:rsidRPr="00B927C3" w:rsidRDefault="008F2391" w:rsidP="008F2391">
      <w:pPr>
        <w:pStyle w:val="ListParagraph"/>
        <w:numPr>
          <w:ilvl w:val="0"/>
          <w:numId w:val="25"/>
        </w:numPr>
        <w:ind w:right="180"/>
        <w:jc w:val="both"/>
        <w:rPr>
          <w:b/>
          <w:i/>
          <w:iCs/>
          <w:u w:val="single"/>
        </w:rPr>
      </w:pPr>
      <w:r>
        <w:rPr>
          <w:i/>
          <w:iCs/>
        </w:rPr>
        <w:t>All special processes required by this PO must be performed by qualified personnel and the processes be periodically validated to ensure output meets requirements. Process validation records will be made available upon request.</w:t>
      </w:r>
    </w:p>
    <w:p w14:paraId="54469A04" w14:textId="77777777" w:rsidR="008F2391" w:rsidRDefault="008F2391" w:rsidP="008F2391">
      <w:pPr>
        <w:pStyle w:val="ListParagraph"/>
        <w:numPr>
          <w:ilvl w:val="0"/>
          <w:numId w:val="25"/>
        </w:numPr>
        <w:ind w:right="180"/>
        <w:jc w:val="both"/>
        <w:rPr>
          <w:i/>
          <w:iCs/>
        </w:rPr>
      </w:pPr>
      <w:r>
        <w:rPr>
          <w:i/>
          <w:iCs/>
        </w:rPr>
        <w:t>Any differences between what is listed above and what is provided by the supplier must be clearly identified, communicated and approved prior to shipping. Supplier is not allowed to modify drawings, specifications, or product characteristics without written consent of our engineering and quality departments</w:t>
      </w:r>
    </w:p>
    <w:p w14:paraId="338F6286" w14:textId="77777777" w:rsidR="008F2391" w:rsidRPr="00B927C3" w:rsidRDefault="008F2391" w:rsidP="008F2391">
      <w:pPr>
        <w:pStyle w:val="ListParagraph"/>
        <w:numPr>
          <w:ilvl w:val="0"/>
          <w:numId w:val="25"/>
        </w:numPr>
        <w:ind w:right="180"/>
        <w:jc w:val="both"/>
        <w:rPr>
          <w:b/>
          <w:i/>
          <w:iCs/>
          <w:u w:val="single"/>
        </w:rPr>
      </w:pPr>
      <w:r>
        <w:rPr>
          <w:i/>
          <w:iCs/>
        </w:rPr>
        <w:lastRenderedPageBreak/>
        <w:t>When utilizing sampling inspection as a means of verification, the method must be in accordance to a statistically valid standard (i.e. ANSI Z1.4 or equivalent).</w:t>
      </w:r>
    </w:p>
    <w:p w14:paraId="1EC3702B" w14:textId="77777777" w:rsidR="008F2391" w:rsidRDefault="008F2391" w:rsidP="008F2391">
      <w:pPr>
        <w:pStyle w:val="ListParagraph"/>
        <w:numPr>
          <w:ilvl w:val="0"/>
          <w:numId w:val="25"/>
        </w:numPr>
        <w:ind w:right="180"/>
        <w:jc w:val="both"/>
        <w:rPr>
          <w:i/>
          <w:iCs/>
        </w:rPr>
      </w:pPr>
      <w:r>
        <w:rPr>
          <w:i/>
          <w:iCs/>
        </w:rPr>
        <w:t>Detection of a nonconforming product regarding any order (currently in work or previously shipped) must be promptly communicated to our quality department for evaluation.</w:t>
      </w:r>
    </w:p>
    <w:p w14:paraId="4AB2F205" w14:textId="77777777" w:rsidR="008F2391" w:rsidRPr="00B927C3" w:rsidRDefault="008F2391" w:rsidP="008F2391">
      <w:pPr>
        <w:ind w:right="180"/>
        <w:jc w:val="both"/>
        <w:rPr>
          <w:b/>
          <w:i/>
          <w:iCs/>
          <w:u w:val="single"/>
        </w:rPr>
      </w:pPr>
    </w:p>
    <w:p w14:paraId="4DFB7FD5" w14:textId="77777777" w:rsidR="008F2391" w:rsidRDefault="008F2391" w:rsidP="008F2391">
      <w:pPr>
        <w:pStyle w:val="ListParagraph"/>
        <w:numPr>
          <w:ilvl w:val="0"/>
          <w:numId w:val="23"/>
        </w:numPr>
        <w:ind w:left="360" w:right="180"/>
        <w:jc w:val="both"/>
        <w:rPr>
          <w:b/>
          <w:i/>
          <w:iCs/>
          <w:u w:val="single"/>
        </w:rPr>
      </w:pPr>
      <w:r>
        <w:rPr>
          <w:b/>
          <w:i/>
          <w:iCs/>
          <w:u w:val="single"/>
        </w:rPr>
        <w:t>SERVICES PROVIDERS</w:t>
      </w:r>
    </w:p>
    <w:p w14:paraId="4463FC4C" w14:textId="77777777" w:rsidR="008F2391" w:rsidRDefault="008F2391" w:rsidP="008F2391">
      <w:pPr>
        <w:pStyle w:val="ListParagraph"/>
        <w:numPr>
          <w:ilvl w:val="0"/>
          <w:numId w:val="24"/>
        </w:numPr>
        <w:ind w:left="1080" w:right="180"/>
        <w:jc w:val="both"/>
        <w:rPr>
          <w:i/>
          <w:iCs/>
        </w:rPr>
      </w:pPr>
      <w:r>
        <w:rPr>
          <w:i/>
          <w:iCs/>
        </w:rPr>
        <w:t xml:space="preserve">All special process providers must perform tasks according to applicable and stated specifications (ASME, Mil Specs, etc.). Conformance records provided must indicate specifications in which processes were performed. </w:t>
      </w:r>
    </w:p>
    <w:p w14:paraId="4AD2DB5B" w14:textId="77777777" w:rsidR="008F2391" w:rsidRDefault="008F2391" w:rsidP="008F2391">
      <w:pPr>
        <w:pStyle w:val="ListParagraph"/>
        <w:numPr>
          <w:ilvl w:val="0"/>
          <w:numId w:val="24"/>
        </w:numPr>
        <w:ind w:left="1080" w:right="180"/>
        <w:jc w:val="both"/>
        <w:rPr>
          <w:i/>
          <w:iCs/>
        </w:rPr>
      </w:pPr>
      <w:r>
        <w:rPr>
          <w:i/>
          <w:iCs/>
        </w:rPr>
        <w:t xml:space="preserve">Repair facilities must maintain current qualifications and certifications for the repair being performed and provide evidence of such conformance with the service provided. </w:t>
      </w:r>
    </w:p>
    <w:p w14:paraId="1636138B" w14:textId="5894C54F" w:rsidR="008F2391" w:rsidRDefault="008F2391" w:rsidP="008F2391">
      <w:pPr>
        <w:pStyle w:val="ListParagraph"/>
        <w:numPr>
          <w:ilvl w:val="0"/>
          <w:numId w:val="24"/>
        </w:numPr>
        <w:ind w:left="1080" w:right="180"/>
        <w:jc w:val="both"/>
        <w:rPr>
          <w:i/>
          <w:iCs/>
        </w:rPr>
      </w:pPr>
      <w:r>
        <w:rPr>
          <w:i/>
          <w:iCs/>
        </w:rPr>
        <w:t>Service Providers performing tasks that do not directly impact product quality are required to provide evidence of competence to complete specific actions or have them available upon request.</w:t>
      </w:r>
    </w:p>
    <w:p w14:paraId="33987B09" w14:textId="77777777" w:rsidR="008F2391" w:rsidRPr="00C42411" w:rsidRDefault="008F2391" w:rsidP="008F2391">
      <w:pPr>
        <w:jc w:val="both"/>
        <w:rPr>
          <w:i/>
          <w:iCs/>
        </w:rPr>
      </w:pPr>
    </w:p>
    <w:p w14:paraId="5CB5033F" w14:textId="77777777" w:rsidR="00CB5270" w:rsidRPr="003E5EBF" w:rsidRDefault="00CB5270">
      <w:pPr>
        <w:overflowPunct w:val="0"/>
        <w:autoSpaceDE w:val="0"/>
        <w:autoSpaceDN w:val="0"/>
        <w:adjustRightInd w:val="0"/>
        <w:spacing w:afterLines="60" w:after="144"/>
        <w:ind w:left="-720" w:right="-1080"/>
        <w:jc w:val="both"/>
        <w:textAlignment w:val="baseline"/>
        <w:rPr>
          <w:rFonts w:ascii="Calibri" w:hAnsi="Calibri" w:cs="Calibri"/>
          <w:szCs w:val="18"/>
        </w:rPr>
      </w:pPr>
    </w:p>
    <w:sectPr w:rsidR="00CB5270" w:rsidRPr="003E5EBF" w:rsidSect="00532579">
      <w:headerReference w:type="default" r:id="rId8"/>
      <w:footerReference w:type="default" r:id="rId9"/>
      <w:pgSz w:w="12240" w:h="15840"/>
      <w:pgMar w:top="1440" w:right="1080" w:bottom="1440" w:left="1080" w:header="450" w:footer="2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2F1E" w14:textId="77777777" w:rsidR="00996DFA" w:rsidRDefault="00996DFA">
      <w:r>
        <w:separator/>
      </w:r>
    </w:p>
  </w:endnote>
  <w:endnote w:type="continuationSeparator" w:id="0">
    <w:p w14:paraId="6372B7A2" w14:textId="77777777" w:rsidR="00996DFA" w:rsidRDefault="0099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E5EBF" w14:paraId="18A54EBC" w14:textId="77777777" w:rsidTr="00777D22">
      <w:tc>
        <w:tcPr>
          <w:tcW w:w="10070" w:type="dxa"/>
          <w:gridSpan w:val="2"/>
          <w:tcBorders>
            <w:top w:val="single" w:sz="6" w:space="0" w:color="003399"/>
          </w:tcBorders>
        </w:tcPr>
        <w:p w14:paraId="5A01A070" w14:textId="77777777" w:rsidR="003E5EBF" w:rsidRPr="006422DB" w:rsidRDefault="003E5EBF" w:rsidP="003E5EBF">
          <w:pPr>
            <w:pStyle w:val="Footer"/>
            <w:spacing w:before="60"/>
            <w:rPr>
              <w:rFonts w:ascii="Calibri" w:hAnsi="Calibri" w:cs="Calibri"/>
              <w:sz w:val="16"/>
              <w:szCs w:val="14"/>
            </w:rPr>
          </w:pPr>
          <w:r w:rsidRPr="006422DB">
            <w:rPr>
              <w:rFonts w:ascii="Calibri" w:hAnsi="Calibri" w:cs="Calibri"/>
              <w:sz w:val="16"/>
              <w:szCs w:val="14"/>
            </w:rPr>
            <w:t>CAUTION: A hard copy of this document may not be the latest version in use. To verify the current version, refer to the Master Copy maintained and protected on the shared network server. If there are any questions, ask management for assistance.</w:t>
          </w:r>
        </w:p>
        <w:p w14:paraId="0B74BDE2" w14:textId="77777777" w:rsidR="003E5EBF" w:rsidRDefault="003E5EBF" w:rsidP="003E5EBF">
          <w:pPr>
            <w:pStyle w:val="Footer"/>
            <w:jc w:val="center"/>
            <w:rPr>
              <w:rFonts w:ascii="Verdana" w:hAnsi="Verdana" w:cstheme="minorHAnsi"/>
              <w:sz w:val="14"/>
              <w:szCs w:val="16"/>
            </w:rPr>
          </w:pPr>
        </w:p>
      </w:tc>
    </w:tr>
    <w:tr w:rsidR="003E5EBF" w:rsidRPr="006422DB" w14:paraId="1657470A" w14:textId="77777777" w:rsidTr="00777D22">
      <w:tc>
        <w:tcPr>
          <w:tcW w:w="5035" w:type="dxa"/>
        </w:tcPr>
        <w:p w14:paraId="18CA4EA7" w14:textId="77777777" w:rsidR="003E5EBF" w:rsidRDefault="003E5EBF" w:rsidP="003E5EBF">
          <w:pPr>
            <w:pStyle w:val="Footer"/>
            <w:jc w:val="center"/>
            <w:rPr>
              <w:rFonts w:ascii="Verdana" w:hAnsi="Verdana" w:cstheme="minorHAnsi"/>
              <w:sz w:val="14"/>
              <w:szCs w:val="16"/>
            </w:rPr>
          </w:pPr>
        </w:p>
      </w:tc>
      <w:tc>
        <w:tcPr>
          <w:tcW w:w="5035" w:type="dxa"/>
        </w:tcPr>
        <w:p w14:paraId="243813AB" w14:textId="1F380B55" w:rsidR="003E5EBF" w:rsidRPr="006422DB" w:rsidRDefault="003E5EBF" w:rsidP="003E5EBF">
          <w:pPr>
            <w:pStyle w:val="Footer"/>
            <w:jc w:val="right"/>
            <w:rPr>
              <w:rFonts w:ascii="Calibri" w:hAnsi="Calibri" w:cs="Calibri"/>
              <w:sz w:val="16"/>
              <w:szCs w:val="16"/>
            </w:rPr>
          </w:pPr>
          <w:r w:rsidRPr="006422DB">
            <w:rPr>
              <w:rFonts w:ascii="Calibri" w:hAnsi="Calibri" w:cs="Calibri"/>
              <w:sz w:val="16"/>
              <w:szCs w:val="16"/>
            </w:rPr>
            <w:t xml:space="preserve">Page </w:t>
          </w:r>
          <w:r w:rsidRPr="006422DB">
            <w:rPr>
              <w:rFonts w:ascii="Calibri" w:hAnsi="Calibri" w:cs="Calibri"/>
              <w:sz w:val="16"/>
              <w:szCs w:val="16"/>
            </w:rPr>
            <w:fldChar w:fldCharType="begin"/>
          </w:r>
          <w:r w:rsidRPr="006422DB">
            <w:rPr>
              <w:rFonts w:ascii="Calibri" w:hAnsi="Calibri" w:cs="Calibri"/>
              <w:sz w:val="16"/>
              <w:szCs w:val="16"/>
            </w:rPr>
            <w:instrText xml:space="preserve"> PAGE </w:instrText>
          </w:r>
          <w:r w:rsidRPr="006422DB">
            <w:rPr>
              <w:rFonts w:ascii="Calibri" w:hAnsi="Calibri" w:cs="Calibri"/>
              <w:sz w:val="16"/>
              <w:szCs w:val="16"/>
            </w:rPr>
            <w:fldChar w:fldCharType="separate"/>
          </w:r>
          <w:r>
            <w:rPr>
              <w:rFonts w:ascii="Calibri" w:hAnsi="Calibri" w:cs="Calibri"/>
              <w:noProof/>
              <w:sz w:val="16"/>
              <w:szCs w:val="16"/>
            </w:rPr>
            <w:t>2</w:t>
          </w:r>
          <w:r w:rsidRPr="006422DB">
            <w:rPr>
              <w:rFonts w:ascii="Calibri" w:hAnsi="Calibri" w:cs="Calibri"/>
              <w:sz w:val="16"/>
              <w:szCs w:val="16"/>
            </w:rPr>
            <w:fldChar w:fldCharType="end"/>
          </w:r>
          <w:r w:rsidRPr="006422DB">
            <w:rPr>
              <w:rFonts w:ascii="Calibri" w:hAnsi="Calibri" w:cs="Calibri"/>
              <w:sz w:val="16"/>
              <w:szCs w:val="16"/>
            </w:rPr>
            <w:t xml:space="preserve"> of </w:t>
          </w:r>
          <w:r w:rsidRPr="006422DB">
            <w:rPr>
              <w:rFonts w:ascii="Calibri" w:hAnsi="Calibri" w:cs="Calibri"/>
              <w:sz w:val="16"/>
              <w:szCs w:val="16"/>
            </w:rPr>
            <w:fldChar w:fldCharType="begin"/>
          </w:r>
          <w:r w:rsidRPr="006422DB">
            <w:rPr>
              <w:rFonts w:ascii="Calibri" w:hAnsi="Calibri" w:cs="Calibri"/>
              <w:sz w:val="16"/>
              <w:szCs w:val="16"/>
            </w:rPr>
            <w:instrText xml:space="preserve"> NUMPAGES </w:instrText>
          </w:r>
          <w:r w:rsidRPr="006422DB">
            <w:rPr>
              <w:rFonts w:ascii="Calibri" w:hAnsi="Calibri" w:cs="Calibri"/>
              <w:sz w:val="16"/>
              <w:szCs w:val="16"/>
            </w:rPr>
            <w:fldChar w:fldCharType="separate"/>
          </w:r>
          <w:r>
            <w:rPr>
              <w:rFonts w:ascii="Calibri" w:hAnsi="Calibri" w:cs="Calibri"/>
              <w:noProof/>
              <w:sz w:val="16"/>
              <w:szCs w:val="16"/>
            </w:rPr>
            <w:t>2</w:t>
          </w:r>
          <w:r w:rsidRPr="006422DB">
            <w:rPr>
              <w:rFonts w:ascii="Calibri" w:hAnsi="Calibri" w:cs="Calibri"/>
              <w:sz w:val="16"/>
              <w:szCs w:val="16"/>
            </w:rPr>
            <w:fldChar w:fldCharType="end"/>
          </w:r>
        </w:p>
      </w:tc>
    </w:tr>
  </w:tbl>
  <w:p w14:paraId="2D4CFBCA" w14:textId="77777777" w:rsidR="003E5EBF" w:rsidRPr="00226D9F" w:rsidRDefault="003E5EBF" w:rsidP="003E5EBF">
    <w:pPr>
      <w:pStyle w:val="Footer"/>
      <w:jc w:val="center"/>
      <w:rPr>
        <w:rFonts w:ascii="Verdana" w:hAnsi="Verdana" w:cstheme="minorHAnsi"/>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0CFC" w14:textId="77777777" w:rsidR="00996DFA" w:rsidRDefault="00996DFA">
      <w:r>
        <w:separator/>
      </w:r>
    </w:p>
  </w:footnote>
  <w:footnote w:type="continuationSeparator" w:id="0">
    <w:p w14:paraId="420DBC61" w14:textId="77777777" w:rsidR="00996DFA" w:rsidRDefault="0099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single" w:sz="6" w:space="0" w:color="0000CC"/>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A40631" w14:paraId="3159D55B" w14:textId="77777777" w:rsidTr="00777D22">
      <w:trPr>
        <w:trHeight w:val="864"/>
        <w:jc w:val="center"/>
      </w:trPr>
      <w:tc>
        <w:tcPr>
          <w:tcW w:w="5035" w:type="dxa"/>
          <w:tcBorders>
            <w:bottom w:val="single" w:sz="6" w:space="0" w:color="003399"/>
          </w:tcBorders>
          <w:vAlign w:val="center"/>
        </w:tcPr>
        <w:p w14:paraId="7F8DDA32" w14:textId="290C4685" w:rsidR="00A40631" w:rsidRDefault="00532579" w:rsidP="00A40631">
          <w:pPr>
            <w:pStyle w:val="Header"/>
            <w:tabs>
              <w:tab w:val="clear" w:pos="4320"/>
              <w:tab w:val="clear" w:pos="8640"/>
            </w:tabs>
          </w:pPr>
          <w:r>
            <w:rPr>
              <w:noProof/>
            </w:rPr>
            <w:drawing>
              <wp:anchor distT="0" distB="0" distL="114300" distR="114300" simplePos="0" relativeHeight="251659264" behindDoc="0" locked="0" layoutInCell="1" allowOverlap="1" wp14:anchorId="56FA2825" wp14:editId="7C686541">
                <wp:simplePos x="0" y="0"/>
                <wp:positionH relativeFrom="column">
                  <wp:posOffset>-53340</wp:posOffset>
                </wp:positionH>
                <wp:positionV relativeFrom="paragraph">
                  <wp:posOffset>16510</wp:posOffset>
                </wp:positionV>
                <wp:extent cx="2042160" cy="478155"/>
                <wp:effectExtent l="0" t="0" r="0" b="0"/>
                <wp:wrapNone/>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 LOGO.jpg"/>
                        <pic:cNvPicPr/>
                      </pic:nvPicPr>
                      <pic:blipFill>
                        <a:blip r:embed="rId1">
                          <a:extLst>
                            <a:ext uri="{28A0092B-C50C-407E-A947-70E740481C1C}">
                              <a14:useLocalDpi xmlns:a14="http://schemas.microsoft.com/office/drawing/2010/main" val="0"/>
                            </a:ext>
                          </a:extLst>
                        </a:blip>
                        <a:stretch>
                          <a:fillRect/>
                        </a:stretch>
                      </pic:blipFill>
                      <pic:spPr>
                        <a:xfrm>
                          <a:off x="0" y="0"/>
                          <a:ext cx="2042160" cy="478155"/>
                        </a:xfrm>
                        <a:prstGeom prst="rect">
                          <a:avLst/>
                        </a:prstGeom>
                      </pic:spPr>
                    </pic:pic>
                  </a:graphicData>
                </a:graphic>
                <wp14:sizeRelH relativeFrom="page">
                  <wp14:pctWidth>0</wp14:pctWidth>
                </wp14:sizeRelH>
                <wp14:sizeRelV relativeFrom="page">
                  <wp14:pctHeight>0</wp14:pctHeight>
                </wp14:sizeRelV>
              </wp:anchor>
            </w:drawing>
          </w:r>
        </w:p>
      </w:tc>
      <w:tc>
        <w:tcPr>
          <w:tcW w:w="5035" w:type="dxa"/>
          <w:tcBorders>
            <w:bottom w:val="single" w:sz="6" w:space="0" w:color="003399"/>
          </w:tcBorders>
          <w:vAlign w:val="center"/>
        </w:tcPr>
        <w:p w14:paraId="283C4273" w14:textId="77777777" w:rsidR="008F2391" w:rsidRDefault="008F2391" w:rsidP="00A40631">
          <w:pPr>
            <w:pStyle w:val="Header"/>
            <w:tabs>
              <w:tab w:val="clear" w:pos="4320"/>
              <w:tab w:val="clear" w:pos="8640"/>
            </w:tabs>
            <w:jc w:val="right"/>
            <w:rPr>
              <w:rFonts w:asciiTheme="minorHAnsi" w:hAnsiTheme="minorHAnsi" w:cstheme="minorHAnsi"/>
              <w:sz w:val="24"/>
            </w:rPr>
          </w:pPr>
        </w:p>
        <w:p w14:paraId="0195E348" w14:textId="370725A7" w:rsidR="00A40631" w:rsidRPr="00D704B0" w:rsidRDefault="008F2391" w:rsidP="00A40631">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4"/>
            </w:rPr>
            <w:t>Supplier Terms and Conditions of Order</w:t>
          </w:r>
        </w:p>
        <w:p w14:paraId="6E3CE63E" w14:textId="46071CC6" w:rsidR="00A40631" w:rsidRDefault="00880517" w:rsidP="00A40631">
          <w:pPr>
            <w:pStyle w:val="Header"/>
            <w:tabs>
              <w:tab w:val="clear" w:pos="4320"/>
              <w:tab w:val="clear" w:pos="8640"/>
            </w:tabs>
            <w:jc w:val="right"/>
          </w:pPr>
          <w:r>
            <w:t>Sept 27 2019</w:t>
          </w:r>
        </w:p>
      </w:tc>
    </w:tr>
  </w:tbl>
  <w:p w14:paraId="5E5ADA99" w14:textId="77777777" w:rsidR="00A40631" w:rsidRPr="009C1479" w:rsidRDefault="00A40631" w:rsidP="00A40631">
    <w:pPr>
      <w:pStyle w:val="Header"/>
      <w:rPr>
        <w:rFonts w:asciiTheme="minorHAnsi" w:hAnsiTheme="minorHAnsi" w:cs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66518"/>
    <w:multiLevelType w:val="hybridMultilevel"/>
    <w:tmpl w:val="139241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63AF0"/>
    <w:multiLevelType w:val="multilevel"/>
    <w:tmpl w:val="562C6814"/>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 w15:restartNumberingAfterBreak="0">
    <w:nsid w:val="0FA972EE"/>
    <w:multiLevelType w:val="multilevel"/>
    <w:tmpl w:val="F33E3FE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lowerLetter"/>
      <w:lvlText w:val="%3."/>
      <w:lvlJc w:val="left"/>
      <w:pPr>
        <w:tabs>
          <w:tab w:val="num" w:pos="1800"/>
        </w:tabs>
        <w:ind w:left="1800" w:hanging="36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10011DD1"/>
    <w:multiLevelType w:val="hybridMultilevel"/>
    <w:tmpl w:val="1A56AA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34E5D40"/>
    <w:multiLevelType w:val="multilevel"/>
    <w:tmpl w:val="73D08E46"/>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15281C"/>
    <w:multiLevelType w:val="singleLevel"/>
    <w:tmpl w:val="787A5358"/>
    <w:lvl w:ilvl="0">
      <w:start w:val="1"/>
      <w:numFmt w:val="lowerLetter"/>
      <w:lvlText w:val="%1)"/>
      <w:lvlJc w:val="left"/>
      <w:pPr>
        <w:tabs>
          <w:tab w:val="num" w:pos="1800"/>
        </w:tabs>
        <w:ind w:left="1800" w:hanging="360"/>
      </w:pPr>
    </w:lvl>
  </w:abstractNum>
  <w:abstractNum w:abstractNumId="7" w15:restartNumberingAfterBreak="0">
    <w:nsid w:val="219178E1"/>
    <w:multiLevelType w:val="hybridMultilevel"/>
    <w:tmpl w:val="BC76A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254E4"/>
    <w:multiLevelType w:val="multilevel"/>
    <w:tmpl w:val="CFE06C92"/>
    <w:lvl w:ilvl="0">
      <w:start w:val="4"/>
      <w:numFmt w:val="decimal"/>
      <w:lvlText w:val="%1."/>
      <w:lvlJc w:val="left"/>
      <w:pPr>
        <w:tabs>
          <w:tab w:val="num" w:pos="360"/>
        </w:tabs>
        <w:ind w:left="36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9" w15:restartNumberingAfterBreak="0">
    <w:nsid w:val="28C42B17"/>
    <w:multiLevelType w:val="multilevel"/>
    <w:tmpl w:val="30383888"/>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15:restartNumberingAfterBreak="0">
    <w:nsid w:val="29DA4754"/>
    <w:multiLevelType w:val="singleLevel"/>
    <w:tmpl w:val="787A5358"/>
    <w:lvl w:ilvl="0">
      <w:start w:val="1"/>
      <w:numFmt w:val="lowerLetter"/>
      <w:lvlText w:val="%1)"/>
      <w:lvlJc w:val="left"/>
      <w:pPr>
        <w:tabs>
          <w:tab w:val="num" w:pos="1800"/>
        </w:tabs>
        <w:ind w:left="1800" w:hanging="360"/>
      </w:pPr>
    </w:lvl>
  </w:abstractNum>
  <w:abstractNum w:abstractNumId="11" w15:restartNumberingAfterBreak="0">
    <w:nsid w:val="2C450D80"/>
    <w:multiLevelType w:val="multilevel"/>
    <w:tmpl w:val="54665D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01A2335"/>
    <w:multiLevelType w:val="hybridMultilevel"/>
    <w:tmpl w:val="DFFA17F8"/>
    <w:lvl w:ilvl="0" w:tplc="D6F2AF88">
      <w:start w:val="1"/>
      <w:numFmt w:val="lowerLetter"/>
      <w:lvlText w:val="%1)"/>
      <w:lvlJc w:val="left"/>
      <w:pPr>
        <w:ind w:left="519" w:hanging="403"/>
      </w:pPr>
      <w:rPr>
        <w:rFonts w:ascii="Cambria" w:eastAsia="Cambria" w:hAnsi="Cambria" w:hint="default"/>
        <w:color w:val="231F20"/>
        <w:spacing w:val="-11"/>
        <w:w w:val="100"/>
        <w:sz w:val="22"/>
        <w:szCs w:val="22"/>
      </w:rPr>
    </w:lvl>
    <w:lvl w:ilvl="1" w:tplc="5F5A977A">
      <w:start w:val="1"/>
      <w:numFmt w:val="bullet"/>
      <w:lvlText w:val="•"/>
      <w:lvlJc w:val="left"/>
      <w:pPr>
        <w:ind w:left="1466" w:hanging="403"/>
      </w:pPr>
      <w:rPr>
        <w:rFonts w:hint="default"/>
      </w:rPr>
    </w:lvl>
    <w:lvl w:ilvl="2" w:tplc="9580C06E">
      <w:start w:val="1"/>
      <w:numFmt w:val="bullet"/>
      <w:lvlText w:val="•"/>
      <w:lvlJc w:val="left"/>
      <w:pPr>
        <w:ind w:left="2413" w:hanging="403"/>
      </w:pPr>
      <w:rPr>
        <w:rFonts w:hint="default"/>
      </w:rPr>
    </w:lvl>
    <w:lvl w:ilvl="3" w:tplc="C92AE8D4">
      <w:start w:val="1"/>
      <w:numFmt w:val="bullet"/>
      <w:lvlText w:val="•"/>
      <w:lvlJc w:val="left"/>
      <w:pPr>
        <w:ind w:left="3359" w:hanging="403"/>
      </w:pPr>
      <w:rPr>
        <w:rFonts w:hint="default"/>
      </w:rPr>
    </w:lvl>
    <w:lvl w:ilvl="4" w:tplc="CB5AD004">
      <w:start w:val="1"/>
      <w:numFmt w:val="bullet"/>
      <w:lvlText w:val="•"/>
      <w:lvlJc w:val="left"/>
      <w:pPr>
        <w:ind w:left="4306" w:hanging="403"/>
      </w:pPr>
      <w:rPr>
        <w:rFonts w:hint="default"/>
      </w:rPr>
    </w:lvl>
    <w:lvl w:ilvl="5" w:tplc="9FC85E44">
      <w:start w:val="1"/>
      <w:numFmt w:val="bullet"/>
      <w:lvlText w:val="•"/>
      <w:lvlJc w:val="left"/>
      <w:pPr>
        <w:ind w:left="5252" w:hanging="403"/>
      </w:pPr>
      <w:rPr>
        <w:rFonts w:hint="default"/>
      </w:rPr>
    </w:lvl>
    <w:lvl w:ilvl="6" w:tplc="E4345EE8">
      <w:start w:val="1"/>
      <w:numFmt w:val="bullet"/>
      <w:lvlText w:val="•"/>
      <w:lvlJc w:val="left"/>
      <w:pPr>
        <w:ind w:left="6199" w:hanging="403"/>
      </w:pPr>
      <w:rPr>
        <w:rFonts w:hint="default"/>
      </w:rPr>
    </w:lvl>
    <w:lvl w:ilvl="7" w:tplc="67664B9A">
      <w:start w:val="1"/>
      <w:numFmt w:val="bullet"/>
      <w:lvlText w:val="•"/>
      <w:lvlJc w:val="left"/>
      <w:pPr>
        <w:ind w:left="7145" w:hanging="403"/>
      </w:pPr>
      <w:rPr>
        <w:rFonts w:hint="default"/>
      </w:rPr>
    </w:lvl>
    <w:lvl w:ilvl="8" w:tplc="CC0A2948">
      <w:start w:val="1"/>
      <w:numFmt w:val="bullet"/>
      <w:lvlText w:val="•"/>
      <w:lvlJc w:val="left"/>
      <w:pPr>
        <w:ind w:left="8092" w:hanging="403"/>
      </w:pPr>
      <w:rPr>
        <w:rFonts w:hint="default"/>
      </w:rPr>
    </w:lvl>
  </w:abstractNum>
  <w:abstractNum w:abstractNumId="13" w15:restartNumberingAfterBreak="0">
    <w:nsid w:val="35791F07"/>
    <w:multiLevelType w:val="hybridMultilevel"/>
    <w:tmpl w:val="F1FC0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FB28B2"/>
    <w:multiLevelType w:val="multilevel"/>
    <w:tmpl w:val="BF2C7AF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D606F91"/>
    <w:multiLevelType w:val="multilevel"/>
    <w:tmpl w:val="DD2A1DF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183CCF"/>
    <w:multiLevelType w:val="multilevel"/>
    <w:tmpl w:val="3BEC2E86"/>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7" w15:restartNumberingAfterBreak="0">
    <w:nsid w:val="60D05386"/>
    <w:multiLevelType w:val="hybridMultilevel"/>
    <w:tmpl w:val="8562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042C8"/>
    <w:multiLevelType w:val="multilevel"/>
    <w:tmpl w:val="73E8202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44755BE"/>
    <w:multiLevelType w:val="multilevel"/>
    <w:tmpl w:val="2F9E0A34"/>
    <w:lvl w:ilvl="0">
      <w:start w:val="1"/>
      <w:numFmt w:val="decimal"/>
      <w:lvlText w:val="%1"/>
      <w:lvlJc w:val="left"/>
      <w:pPr>
        <w:ind w:left="797" w:hanging="681"/>
      </w:pPr>
      <w:rPr>
        <w:rFonts w:ascii="Cambria" w:eastAsia="Cambria" w:hAnsi="Cambria" w:hint="default"/>
        <w:b/>
        <w:bCs/>
        <w:color w:val="231F20"/>
        <w:w w:val="100"/>
        <w:sz w:val="22"/>
        <w:szCs w:val="22"/>
      </w:rPr>
    </w:lvl>
    <w:lvl w:ilvl="1">
      <w:start w:val="1"/>
      <w:numFmt w:val="decimal"/>
      <w:lvlText w:val="%1.%2"/>
      <w:lvlJc w:val="left"/>
      <w:pPr>
        <w:ind w:left="1477" w:hanging="681"/>
      </w:pPr>
      <w:rPr>
        <w:rFonts w:ascii="Cambria" w:eastAsia="Cambria" w:hAnsi="Cambria" w:hint="default"/>
        <w:color w:val="231F20"/>
        <w:w w:val="99"/>
        <w:sz w:val="22"/>
        <w:szCs w:val="22"/>
      </w:rPr>
    </w:lvl>
    <w:lvl w:ilvl="2">
      <w:start w:val="1"/>
      <w:numFmt w:val="decimal"/>
      <w:lvlText w:val="%1.%2.%3"/>
      <w:lvlJc w:val="left"/>
      <w:pPr>
        <w:ind w:left="2271" w:hanging="794"/>
      </w:pPr>
      <w:rPr>
        <w:rFonts w:ascii="Cambria" w:eastAsia="Cambria" w:hAnsi="Cambria" w:hint="default"/>
        <w:color w:val="231F20"/>
        <w:w w:val="99"/>
        <w:sz w:val="22"/>
        <w:szCs w:val="22"/>
      </w:rPr>
    </w:lvl>
    <w:lvl w:ilvl="3">
      <w:start w:val="1"/>
      <w:numFmt w:val="bullet"/>
      <w:lvlText w:val="•"/>
      <w:lvlJc w:val="left"/>
      <w:pPr>
        <w:ind w:left="3158" w:hanging="794"/>
      </w:pPr>
      <w:rPr>
        <w:rFonts w:hint="default"/>
      </w:rPr>
    </w:lvl>
    <w:lvl w:ilvl="4">
      <w:start w:val="1"/>
      <w:numFmt w:val="bullet"/>
      <w:lvlText w:val="•"/>
      <w:lvlJc w:val="left"/>
      <w:pPr>
        <w:ind w:left="4036" w:hanging="794"/>
      </w:pPr>
      <w:rPr>
        <w:rFonts w:hint="default"/>
      </w:rPr>
    </w:lvl>
    <w:lvl w:ilvl="5">
      <w:start w:val="1"/>
      <w:numFmt w:val="bullet"/>
      <w:lvlText w:val="•"/>
      <w:lvlJc w:val="left"/>
      <w:pPr>
        <w:ind w:left="4914" w:hanging="794"/>
      </w:pPr>
      <w:rPr>
        <w:rFonts w:hint="default"/>
      </w:rPr>
    </w:lvl>
    <w:lvl w:ilvl="6">
      <w:start w:val="1"/>
      <w:numFmt w:val="bullet"/>
      <w:lvlText w:val="•"/>
      <w:lvlJc w:val="left"/>
      <w:pPr>
        <w:ind w:left="5792" w:hanging="794"/>
      </w:pPr>
      <w:rPr>
        <w:rFonts w:hint="default"/>
      </w:rPr>
    </w:lvl>
    <w:lvl w:ilvl="7">
      <w:start w:val="1"/>
      <w:numFmt w:val="bullet"/>
      <w:lvlText w:val="•"/>
      <w:lvlJc w:val="left"/>
      <w:pPr>
        <w:ind w:left="6670" w:hanging="794"/>
      </w:pPr>
      <w:rPr>
        <w:rFonts w:hint="default"/>
      </w:rPr>
    </w:lvl>
    <w:lvl w:ilvl="8">
      <w:start w:val="1"/>
      <w:numFmt w:val="bullet"/>
      <w:lvlText w:val="•"/>
      <w:lvlJc w:val="left"/>
      <w:pPr>
        <w:ind w:left="7549" w:hanging="794"/>
      </w:pPr>
      <w:rPr>
        <w:rFonts w:hint="default"/>
      </w:rPr>
    </w:lvl>
  </w:abstractNum>
  <w:abstractNum w:abstractNumId="20" w15:restartNumberingAfterBreak="0">
    <w:nsid w:val="65314F02"/>
    <w:multiLevelType w:val="hybridMultilevel"/>
    <w:tmpl w:val="955096AC"/>
    <w:lvl w:ilvl="0" w:tplc="F126C54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405E9"/>
    <w:multiLevelType w:val="hybridMultilevel"/>
    <w:tmpl w:val="78887724"/>
    <w:lvl w:ilvl="0" w:tplc="0C520B5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0E58DE"/>
    <w:multiLevelType w:val="multilevel"/>
    <w:tmpl w:val="562C6814"/>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15:restartNumberingAfterBreak="0">
    <w:nsid w:val="76932C6E"/>
    <w:multiLevelType w:val="hybridMultilevel"/>
    <w:tmpl w:val="94FE728E"/>
    <w:lvl w:ilvl="0" w:tplc="D1F08B7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CF50DCB"/>
    <w:multiLevelType w:val="multilevel"/>
    <w:tmpl w:val="B7969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9"/>
  </w:num>
  <w:num w:numId="3">
    <w:abstractNumId w:val="10"/>
    <w:lvlOverride w:ilvl="0">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6"/>
    <w:lvlOverride w:ilvl="0">
      <w:startOverride w:val="1"/>
    </w:lvlOverride>
  </w:num>
  <w:num w:numId="12">
    <w:abstractNumId w:val="18"/>
  </w:num>
  <w:num w:numId="13">
    <w:abstractNumId w:val="13"/>
  </w:num>
  <w:num w:numId="1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3"/>
  </w:num>
  <w:num w:numId="17">
    <w:abstractNumId w:val="4"/>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7"/>
  </w:num>
  <w:num w:numId="24">
    <w:abstractNumId w:val="17"/>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69"/>
    <w:rsid w:val="00000800"/>
    <w:rsid w:val="00007A06"/>
    <w:rsid w:val="0001516C"/>
    <w:rsid w:val="0002075C"/>
    <w:rsid w:val="00024D46"/>
    <w:rsid w:val="0003091B"/>
    <w:rsid w:val="0004506C"/>
    <w:rsid w:val="000458B4"/>
    <w:rsid w:val="000567E1"/>
    <w:rsid w:val="00077148"/>
    <w:rsid w:val="000840BF"/>
    <w:rsid w:val="000A5FB6"/>
    <w:rsid w:val="000B2C2B"/>
    <w:rsid w:val="000C5299"/>
    <w:rsid w:val="000F6B97"/>
    <w:rsid w:val="0013085A"/>
    <w:rsid w:val="00131CF5"/>
    <w:rsid w:val="00142C74"/>
    <w:rsid w:val="0018362D"/>
    <w:rsid w:val="00184BA1"/>
    <w:rsid w:val="001B14C5"/>
    <w:rsid w:val="001B4767"/>
    <w:rsid w:val="001C5183"/>
    <w:rsid w:val="001C6B56"/>
    <w:rsid w:val="001E75B5"/>
    <w:rsid w:val="00202795"/>
    <w:rsid w:val="00221A76"/>
    <w:rsid w:val="00241C37"/>
    <w:rsid w:val="0025123B"/>
    <w:rsid w:val="00254C51"/>
    <w:rsid w:val="00295DB8"/>
    <w:rsid w:val="002A4492"/>
    <w:rsid w:val="002B3E54"/>
    <w:rsid w:val="002D575B"/>
    <w:rsid w:val="002E2810"/>
    <w:rsid w:val="002E39B8"/>
    <w:rsid w:val="002F6E8F"/>
    <w:rsid w:val="00301D87"/>
    <w:rsid w:val="00314D2B"/>
    <w:rsid w:val="00315BE3"/>
    <w:rsid w:val="00333610"/>
    <w:rsid w:val="00366380"/>
    <w:rsid w:val="0037070E"/>
    <w:rsid w:val="00375EA0"/>
    <w:rsid w:val="00382119"/>
    <w:rsid w:val="00386FF0"/>
    <w:rsid w:val="003909FE"/>
    <w:rsid w:val="003D0C31"/>
    <w:rsid w:val="003E5EBF"/>
    <w:rsid w:val="0040169E"/>
    <w:rsid w:val="004337D0"/>
    <w:rsid w:val="00440DCF"/>
    <w:rsid w:val="00467016"/>
    <w:rsid w:val="0046726C"/>
    <w:rsid w:val="00482C94"/>
    <w:rsid w:val="00492AB0"/>
    <w:rsid w:val="004E092F"/>
    <w:rsid w:val="00505B88"/>
    <w:rsid w:val="0050736B"/>
    <w:rsid w:val="00522162"/>
    <w:rsid w:val="00523FF2"/>
    <w:rsid w:val="00532579"/>
    <w:rsid w:val="00574160"/>
    <w:rsid w:val="00593D7E"/>
    <w:rsid w:val="005D7D69"/>
    <w:rsid w:val="005E116B"/>
    <w:rsid w:val="005E1F50"/>
    <w:rsid w:val="006113D8"/>
    <w:rsid w:val="00661807"/>
    <w:rsid w:val="00686BF6"/>
    <w:rsid w:val="006A28B5"/>
    <w:rsid w:val="006B13FB"/>
    <w:rsid w:val="006F054C"/>
    <w:rsid w:val="006F2AF2"/>
    <w:rsid w:val="00723DF3"/>
    <w:rsid w:val="00740527"/>
    <w:rsid w:val="0074462F"/>
    <w:rsid w:val="00765AF7"/>
    <w:rsid w:val="007B25E1"/>
    <w:rsid w:val="007E446F"/>
    <w:rsid w:val="00802C69"/>
    <w:rsid w:val="00804879"/>
    <w:rsid w:val="00816238"/>
    <w:rsid w:val="0083376C"/>
    <w:rsid w:val="00867024"/>
    <w:rsid w:val="00880517"/>
    <w:rsid w:val="00880518"/>
    <w:rsid w:val="00883A60"/>
    <w:rsid w:val="008A3632"/>
    <w:rsid w:val="008B0CDB"/>
    <w:rsid w:val="008C4E2E"/>
    <w:rsid w:val="008F125A"/>
    <w:rsid w:val="008F2391"/>
    <w:rsid w:val="008F66C2"/>
    <w:rsid w:val="00927D54"/>
    <w:rsid w:val="0096270A"/>
    <w:rsid w:val="009745EB"/>
    <w:rsid w:val="0097538B"/>
    <w:rsid w:val="009802D2"/>
    <w:rsid w:val="0099604C"/>
    <w:rsid w:val="00996DFA"/>
    <w:rsid w:val="009A1FD1"/>
    <w:rsid w:val="009A7656"/>
    <w:rsid w:val="009C0C17"/>
    <w:rsid w:val="009D5D64"/>
    <w:rsid w:val="009D7AD2"/>
    <w:rsid w:val="009E4DBA"/>
    <w:rsid w:val="00A10130"/>
    <w:rsid w:val="00A12280"/>
    <w:rsid w:val="00A40631"/>
    <w:rsid w:val="00A438D4"/>
    <w:rsid w:val="00A712F0"/>
    <w:rsid w:val="00A722CF"/>
    <w:rsid w:val="00A73E54"/>
    <w:rsid w:val="00AC4417"/>
    <w:rsid w:val="00AD6F94"/>
    <w:rsid w:val="00B33DA9"/>
    <w:rsid w:val="00B60C07"/>
    <w:rsid w:val="00B675F3"/>
    <w:rsid w:val="00B729B8"/>
    <w:rsid w:val="00BD2DEE"/>
    <w:rsid w:val="00BF408B"/>
    <w:rsid w:val="00BF4383"/>
    <w:rsid w:val="00C11B04"/>
    <w:rsid w:val="00C55B73"/>
    <w:rsid w:val="00C66075"/>
    <w:rsid w:val="00C71CDA"/>
    <w:rsid w:val="00C80331"/>
    <w:rsid w:val="00C804B4"/>
    <w:rsid w:val="00C86B8F"/>
    <w:rsid w:val="00CB24E2"/>
    <w:rsid w:val="00CB51F9"/>
    <w:rsid w:val="00CB5270"/>
    <w:rsid w:val="00CD63F8"/>
    <w:rsid w:val="00CD6EED"/>
    <w:rsid w:val="00CE12D1"/>
    <w:rsid w:val="00CE579E"/>
    <w:rsid w:val="00CF1730"/>
    <w:rsid w:val="00D04E32"/>
    <w:rsid w:val="00D06D73"/>
    <w:rsid w:val="00D079E8"/>
    <w:rsid w:val="00D26E1B"/>
    <w:rsid w:val="00D35283"/>
    <w:rsid w:val="00D704B0"/>
    <w:rsid w:val="00D729A9"/>
    <w:rsid w:val="00D94D99"/>
    <w:rsid w:val="00DA09E0"/>
    <w:rsid w:val="00DE3FCE"/>
    <w:rsid w:val="00DF1DEB"/>
    <w:rsid w:val="00DF2B9D"/>
    <w:rsid w:val="00E10AB0"/>
    <w:rsid w:val="00E135C5"/>
    <w:rsid w:val="00E136CA"/>
    <w:rsid w:val="00E34637"/>
    <w:rsid w:val="00E36393"/>
    <w:rsid w:val="00E85561"/>
    <w:rsid w:val="00E90D23"/>
    <w:rsid w:val="00E94411"/>
    <w:rsid w:val="00EC585E"/>
    <w:rsid w:val="00F0739B"/>
    <w:rsid w:val="00F11FE4"/>
    <w:rsid w:val="00F13246"/>
    <w:rsid w:val="00F21F06"/>
    <w:rsid w:val="00F47ACE"/>
    <w:rsid w:val="00F50EEB"/>
    <w:rsid w:val="00F51262"/>
    <w:rsid w:val="00F52AC0"/>
    <w:rsid w:val="00F6797A"/>
    <w:rsid w:val="00F772AE"/>
    <w:rsid w:val="00FB3B29"/>
    <w:rsid w:val="00FE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10462"/>
  <w15:chartTrackingRefBased/>
  <w15:docId w15:val="{9F2DBE51-37C3-40FC-B27A-742D667C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1" w:qFormat="1"/>
    <w:lsdException w:name="toc 3" w:uiPriority="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pPr>
      <w:keepNext/>
      <w:ind w:left="1440" w:firstLine="720"/>
      <w:jc w:val="both"/>
      <w:outlineLvl w:val="0"/>
    </w:pPr>
    <w:rPr>
      <w:sz w:val="24"/>
      <w:szCs w:val="24"/>
    </w:rPr>
  </w:style>
  <w:style w:type="paragraph" w:styleId="Heading2">
    <w:name w:val="heading 2"/>
    <w:basedOn w:val="Normal"/>
    <w:next w:val="Normal"/>
    <w:qFormat/>
    <w:pPr>
      <w:keepNext/>
      <w:ind w:firstLine="720"/>
      <w:jc w:val="both"/>
      <w:outlineLvl w:val="1"/>
    </w:pPr>
    <w:rPr>
      <w:sz w:val="24"/>
      <w:szCs w:val="24"/>
    </w:rPr>
  </w:style>
  <w:style w:type="paragraph" w:styleId="Heading3">
    <w:name w:val="heading 3"/>
    <w:basedOn w:val="Normal"/>
    <w:next w:val="Normal"/>
    <w:qFormat/>
    <w:pPr>
      <w:keepNext/>
      <w:ind w:firstLine="465"/>
      <w:outlineLvl w:val="2"/>
    </w:pPr>
    <w:rPr>
      <w:sz w:val="24"/>
      <w:szCs w:val="24"/>
    </w:rPr>
  </w:style>
  <w:style w:type="paragraph" w:styleId="Heading4">
    <w:name w:val="heading 4"/>
    <w:basedOn w:val="Normal"/>
    <w:next w:val="Normal"/>
    <w:qFormat/>
    <w:pPr>
      <w:keepNext/>
      <w:spacing w:before="240" w:after="60"/>
      <w:outlineLvl w:val="3"/>
    </w:pPr>
    <w:rPr>
      <w:rFonts w:ascii="Calibri" w:hAnsi="Calibri" w:cs="Times New Roman"/>
      <w:b/>
      <w:bCs/>
      <w:sz w:val="28"/>
      <w:szCs w:val="28"/>
    </w:rPr>
  </w:style>
  <w:style w:type="paragraph" w:styleId="Heading5">
    <w:name w:val="heading 5"/>
    <w:basedOn w:val="Normal"/>
    <w:next w:val="Normal"/>
    <w:qFormat/>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jc w:val="both"/>
    </w:pPr>
    <w:rPr>
      <w:sz w:val="24"/>
      <w:szCs w:val="24"/>
    </w:rPr>
  </w:style>
  <w:style w:type="paragraph" w:customStyle="1" w:styleId="HEADING">
    <w:name w:val="HEADING"/>
    <w:basedOn w:val="Normal"/>
    <w:pPr>
      <w:spacing w:after="240"/>
      <w:jc w:val="center"/>
    </w:pPr>
    <w:rPr>
      <w:caps/>
      <w:sz w:val="36"/>
      <w:szCs w:val="36"/>
      <w:u w:val="words"/>
    </w:rPr>
  </w:style>
  <w:style w:type="paragraph" w:customStyle="1" w:styleId="SECTION1">
    <w:name w:val="SECTION1"/>
    <w:basedOn w:val="Normal"/>
    <w:pPr>
      <w:spacing w:after="160"/>
      <w:ind w:left="1440" w:hanging="720"/>
      <w:jc w:val="both"/>
    </w:pPr>
    <w:rPr>
      <w:sz w:val="24"/>
      <w:szCs w:val="24"/>
    </w:rPr>
  </w:style>
  <w:style w:type="paragraph" w:customStyle="1" w:styleId="SECTION">
    <w:name w:val="SECTION"/>
    <w:basedOn w:val="Normal"/>
    <w:pPr>
      <w:spacing w:after="240"/>
      <w:ind w:left="720" w:hanging="720"/>
      <w:jc w:val="both"/>
    </w:pPr>
    <w:rPr>
      <w:b/>
      <w:bCs/>
      <w:caps/>
      <w:sz w:val="24"/>
      <w:szCs w:val="24"/>
    </w:rPr>
  </w:style>
  <w:style w:type="paragraph" w:customStyle="1" w:styleId="Distribute">
    <w:name w:val="Distribute"/>
    <w:basedOn w:val="HEADING"/>
    <w:rPr>
      <w:caps w:val="0"/>
      <w:sz w:val="24"/>
      <w:szCs w:val="24"/>
    </w:rPr>
  </w:style>
  <w:style w:type="paragraph" w:customStyle="1" w:styleId="SECTION3">
    <w:name w:val="SECTION3"/>
    <w:basedOn w:val="Normal"/>
    <w:pPr>
      <w:spacing w:after="120"/>
      <w:ind w:left="3312" w:hanging="720"/>
    </w:pPr>
    <w:rP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SECTION2">
    <w:name w:val="SECTION2"/>
    <w:basedOn w:val="Normal"/>
    <w:pPr>
      <w:spacing w:after="120"/>
      <w:ind w:left="2160" w:hanging="720"/>
      <w:jc w:val="both"/>
    </w:pPr>
    <w:rPr>
      <w:sz w:val="24"/>
      <w:szCs w:val="24"/>
    </w:rPr>
  </w:style>
  <w:style w:type="character" w:styleId="PageNumber">
    <w:name w:val="page number"/>
    <w:basedOn w:val="DefaultParagraphFont"/>
  </w:style>
  <w:style w:type="paragraph" w:styleId="TOC2">
    <w:name w:val="toc 2"/>
    <w:basedOn w:val="Normal"/>
    <w:uiPriority w:val="1"/>
    <w:qFormat/>
    <w:rsid w:val="00C66075"/>
    <w:pPr>
      <w:widowControl w:val="0"/>
      <w:ind w:left="1477" w:hanging="680"/>
    </w:pPr>
    <w:rPr>
      <w:rFonts w:ascii="Cambria" w:eastAsia="Cambria" w:hAnsi="Cambria" w:cs="Times New Roman"/>
      <w:sz w:val="22"/>
      <w:szCs w:val="22"/>
    </w:rPr>
  </w:style>
  <w:style w:type="paragraph" w:styleId="BalloonText">
    <w:name w:val="Balloon Text"/>
    <w:basedOn w:val="Normal"/>
    <w:uiPriority w:val="99"/>
    <w:rPr>
      <w:rFonts w:ascii="Tahoma" w:hAnsi="Tahoma" w:cs="Tahoma"/>
      <w:sz w:val="16"/>
      <w:szCs w:val="16"/>
    </w:rPr>
  </w:style>
  <w:style w:type="character" w:customStyle="1" w:styleId="BalloonTextChar">
    <w:name w:val="Balloon Text Char"/>
    <w:uiPriority w:val="99"/>
    <w:rPr>
      <w:rFonts w:ascii="Tahoma" w:hAnsi="Tahoma" w:cs="Tahoma"/>
      <w:sz w:val="16"/>
      <w:szCs w:val="16"/>
    </w:rPr>
  </w:style>
  <w:style w:type="character" w:customStyle="1" w:styleId="HeaderChar">
    <w:name w:val="Header Char"/>
    <w:rPr>
      <w:rFonts w:ascii="Arial" w:hAnsi="Arial" w:cs="Arial"/>
    </w:rPr>
  </w:style>
  <w:style w:type="character" w:customStyle="1" w:styleId="Heading4Char">
    <w:name w:val="Heading 4 Char"/>
    <w:semiHidden/>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paragraph" w:styleId="TOC3">
    <w:name w:val="toc 3"/>
    <w:basedOn w:val="Normal"/>
    <w:uiPriority w:val="1"/>
    <w:qFormat/>
    <w:rsid w:val="00C66075"/>
    <w:pPr>
      <w:widowControl w:val="0"/>
      <w:ind w:left="2271" w:hanging="793"/>
    </w:pPr>
    <w:rPr>
      <w:rFonts w:ascii="Cambria" w:eastAsia="Cambria" w:hAnsi="Cambria" w:cs="Times New Roman"/>
      <w:sz w:val="22"/>
      <w:szCs w:val="22"/>
    </w:rPr>
  </w:style>
  <w:style w:type="table" w:styleId="TableGrid">
    <w:name w:val="Table Grid"/>
    <w:basedOn w:val="TableNormal"/>
    <w:uiPriority w:val="59"/>
    <w:rsid w:val="00A40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E5EBF"/>
    <w:rPr>
      <w:rFonts w:ascii="Arial" w:hAnsi="Arial" w:cs="Arial"/>
    </w:rPr>
  </w:style>
  <w:style w:type="paragraph" w:styleId="ListParagraph">
    <w:name w:val="List Paragraph"/>
    <w:basedOn w:val="Normal"/>
    <w:uiPriority w:val="34"/>
    <w:qFormat/>
    <w:rsid w:val="008F239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AFF5-8ABA-47AB-8AA9-A50DF2F5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 D</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Terms and Conditions</dc:title>
  <cp:keywords/>
  <cp:lastModifiedBy>Jay Beck</cp:lastModifiedBy>
  <cp:revision>6</cp:revision>
  <cp:lastPrinted>2011-08-20T18:07:00Z</cp:lastPrinted>
  <dcterms:created xsi:type="dcterms:W3CDTF">2019-09-23T20:25:00Z</dcterms:created>
  <dcterms:modified xsi:type="dcterms:W3CDTF">2019-09-24T20:18:00Z</dcterms:modified>
</cp:coreProperties>
</file>